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5"/>
        <w:gridCol w:w="55"/>
        <w:gridCol w:w="1533"/>
        <w:gridCol w:w="8"/>
        <w:gridCol w:w="3217"/>
        <w:gridCol w:w="1541"/>
        <w:gridCol w:w="1582"/>
        <w:gridCol w:w="31"/>
        <w:gridCol w:w="1155"/>
        <w:gridCol w:w="27"/>
        <w:gridCol w:w="41"/>
        <w:gridCol w:w="1242"/>
        <w:gridCol w:w="1759"/>
        <w:gridCol w:w="968"/>
        <w:gridCol w:w="54"/>
        <w:gridCol w:w="993"/>
        <w:gridCol w:w="30"/>
        <w:gridCol w:w="1185"/>
      </w:tblGrid>
      <w:tr>
        <w:trPr>
          <w:trHeight w:val="1590" w:hRule="atLeast"/>
        </w:trPr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93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обращению с твердыми коммунальными отходами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 куб.м.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31.12.2021 г.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 г.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«Куприт»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217405,77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01.01.21 по 30.06.21- 779,40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01.07.21 по  31.12.21- 812,06 руб.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2021 г.</w:t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0340200003321004834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древесины топливной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3204 куб.м.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календарных дней с даты  заключения Контракта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4325400,00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01.06.2021 г.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«Белохолуницкий Лесхоз»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4303773,00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2021 г.</w:t>
            </w:r>
          </w:p>
        </w:tc>
      </w:tr>
      <w:tr>
        <w:trPr>
          <w:trHeight w:val="435" w:hRule="atLeast"/>
        </w:trPr>
        <w:tc>
          <w:tcPr>
            <w:tcW w:w="15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557" w:hRule="atLeast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32110271151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/>
              <w:tabs>
                <w:tab w:val="clear" w:pos="708"/>
                <w:tab w:val="left" w:pos="343" w:leader="none"/>
              </w:tabs>
              <w:suppressAutoHyphens w:val="true"/>
              <w:bidi w:val="0"/>
              <w:spacing w:lineRule="auto" w:line="240" w:before="0" w:after="120"/>
              <w:ind w:left="57" w:right="0" w:hanging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NSimSun" w:cs="Mangal" w:ascii="Times New Roman" w:hAnsi="Times New Roman"/>
                <w:b w:val="false"/>
                <w:bCs w:val="false"/>
                <w:color w:val="auto"/>
                <w:kern w:val="2"/>
                <w:sz w:val="20"/>
                <w:szCs w:val="20"/>
                <w:lang w:val="ru-RU" w:eastAsia="zh-CN" w:bidi="hi-IN"/>
              </w:rPr>
              <w:t>О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казание услуг по периодическому медицинскому осмотру сотрудников КОГБУСО «Климковский психоневрологический интернат»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Усл.ед.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0 дней с </w:t>
            </w:r>
            <w:r>
              <w:rPr>
                <w:rFonts w:eastAsia="NSimSun" w:cs="Times New Roman" w:ascii="Times New Roman" w:hAnsi="Times New Roman"/>
                <w:b w:val="false"/>
                <w:bCs w:val="false"/>
                <w:color w:val="auto"/>
                <w:kern w:val="2"/>
                <w:sz w:val="20"/>
                <w:szCs w:val="20"/>
                <w:lang w:val="ru-RU" w:eastAsia="zh-CN" w:bidi="hi-IN"/>
              </w:rPr>
              <w:t>даты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 заключения договора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535239,01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«ЦСМ «ЛадаМед»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2021 г.</w:t>
            </w:r>
          </w:p>
        </w:tc>
      </w:tr>
      <w:tr>
        <w:trPr>
          <w:trHeight w:val="557" w:hRule="atLeast"/>
        </w:trPr>
        <w:tc>
          <w:tcPr>
            <w:tcW w:w="4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32110255985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Клозапин </w:t>
            </w:r>
            <w:r>
              <w:rPr>
                <w:rFonts w:eastAsia="MS PGothic" w:cs="" w:ascii="Times New Roman" w:hAnsi="Times New Roman" w:cstheme="minorBidi"/>
                <w:color w:val="auto"/>
                <w:kern w:val="0"/>
                <w:sz w:val="20"/>
                <w:szCs w:val="20"/>
                <w:lang w:val="ru-RU" w:eastAsia="en-US" w:bidi="ar-SA"/>
              </w:rPr>
              <w:t>таб. 100 мг № 150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183 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пак.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течение 21 (двадцати одного) календарного дня  с даты заключения договора</w:t>
            </w:r>
          </w:p>
        </w:tc>
        <w:tc>
          <w:tcPr>
            <w:tcW w:w="12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1012110,00</w:t>
            </w:r>
          </w:p>
        </w:tc>
        <w:tc>
          <w:tcPr>
            <w:tcW w:w="12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 г.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 «Просторы здоровья»</w:t>
            </w:r>
          </w:p>
        </w:tc>
        <w:tc>
          <w:tcPr>
            <w:tcW w:w="10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right" w:pos="10195" w:leader="dot"/>
              </w:tabs>
              <w:spacing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2021 г.</w:t>
            </w:r>
          </w:p>
        </w:tc>
      </w:tr>
      <w:tr>
        <w:trPr>
          <w:trHeight w:val="557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Клозапин </w:t>
            </w:r>
            <w:r>
              <w:rPr>
                <w:rFonts w:eastAsia="MS PGothic" w:cs="" w:ascii="Times New Roman" w:hAnsi="Times New Roman" w:cstheme="minorBidi"/>
                <w:color w:val="auto"/>
                <w:kern w:val="0"/>
                <w:sz w:val="20"/>
                <w:szCs w:val="20"/>
                <w:lang w:val="ru-RU" w:eastAsia="en-US" w:bidi="ar-SA"/>
              </w:rPr>
              <w:t>таб. 100 мг № 50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 у</w:t>
            </w:r>
            <w:r>
              <w:rPr>
                <w:rFonts w:ascii="Times New Roman" w:hAnsi="Times New Roman"/>
                <w:sz w:val="20"/>
                <w:szCs w:val="20"/>
              </w:rPr>
              <w:t>пак.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  <w:tab w:val="right" w:pos="10195" w:leader="dot"/>
              </w:tabs>
              <w:spacing w:before="0" w:after="1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4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32110256564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Амброксол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bCs/>
                <w:color w:val="000000"/>
              </w:rPr>
              <w:t>0 упаковок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течение 21 (двадцати одного) календарного дня  с даты заключения договора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333333"/>
                <w:kern w:val="0"/>
                <w:sz w:val="20"/>
                <w:szCs w:val="20"/>
                <w:highlight w:val="whit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690595,73</w:t>
            </w:r>
          </w:p>
        </w:tc>
        <w:tc>
          <w:tcPr>
            <w:tcW w:w="12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Аптека-219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474583,20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Июль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</w:tr>
      <w:tr>
        <w:trPr>
          <w:trHeight w:val="420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Дифенгидрамин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87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Тофизопам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15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упаковки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19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Индапамид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22,89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Натрия хлорид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16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Рисперидон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08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Сальбутамол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15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Пирацетам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21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Флуоксетин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59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Лозартан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Депротеинизированный </w:t>
            </w:r>
          </w:p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гемодериват крови телят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97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Амитриптилин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53,46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33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Амоксициллин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Аторвастатин                      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bCs/>
                <w:color w:val="000000"/>
              </w:rPr>
              <w:t>0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9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Бриллиантовый зеленый р-р </w:t>
            </w:r>
          </w:p>
          <w:p>
            <w:pPr>
              <w:pStyle w:val="Normal"/>
              <w:spacing w:before="0" w:after="29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наружного применения</w:t>
            </w:r>
          </w:p>
          <w:p>
            <w:pPr>
              <w:pStyle w:val="Normal"/>
              <w:spacing w:before="0" w:after="29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[спиртовой] 1%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200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Бромгексин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Гепарин натрия+Бензокаин+</w:t>
            </w:r>
          </w:p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Бензилникотинат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Декстроза           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43,00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Глютаминовая </w:t>
            </w:r>
          </w:p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кислота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Ацетазоламид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251,00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Очищенная </w:t>
            </w:r>
          </w:p>
          <w:p>
            <w:pPr>
              <w:pStyle w:val="Normal"/>
              <w:spacing w:before="0" w:after="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микронизированная </w:t>
            </w:r>
          </w:p>
          <w:p>
            <w:pPr>
              <w:pStyle w:val="Normal"/>
              <w:spacing w:before="0" w:after="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флавоноидная фракция (Диосмин+</w:t>
            </w:r>
          </w:p>
          <w:p>
            <w:pPr>
              <w:pStyle w:val="Normal"/>
              <w:spacing w:before="0" w:after="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флавоноиды в пересчете на</w:t>
            </w:r>
          </w:p>
          <w:p>
            <w:pPr>
              <w:pStyle w:val="Normal"/>
              <w:spacing w:before="0" w:after="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Гесперидин)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2100,00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Мяты перечной листьев</w:t>
            </w:r>
          </w:p>
          <w:p>
            <w:pPr>
              <w:pStyle w:val="Normal"/>
              <w:spacing w:before="0" w:after="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масло+Месульфамид+</w:t>
            </w:r>
          </w:p>
          <w:p>
            <w:pPr>
              <w:pStyle w:val="Normal"/>
              <w:spacing w:before="0" w:after="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Сульфатиазол+Тимол+</w:t>
            </w:r>
          </w:p>
          <w:p>
            <w:pPr>
              <w:pStyle w:val="Normal"/>
              <w:spacing w:before="0" w:after="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Эвкалипта прутовидного</w:t>
            </w:r>
          </w:p>
          <w:p>
            <w:pPr>
              <w:pStyle w:val="Normal"/>
              <w:spacing w:before="0" w:after="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листьев масло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103,00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Калия йодид+Этанол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20</w:t>
            </w:r>
            <w:r>
              <w:rPr>
                <w:rFonts w:cs="Times New Roman" w:ascii="Times New Roman" w:hAnsi="Times New Roman"/>
                <w:bCs/>
                <w:color w:val="000000"/>
              </w:rPr>
              <w:t>0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Каптоприл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12</w:t>
            </w:r>
            <w:r>
              <w:rPr/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Клотримазол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102,00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Поливитамины+</w:t>
            </w:r>
          </w:p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Минералы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9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Диоксометилтетрагид-</w:t>
            </w:r>
          </w:p>
          <w:p>
            <w:pPr>
              <w:pStyle w:val="Normal"/>
              <w:spacing w:before="0" w:after="29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ропиримидин+</w:t>
            </w:r>
          </w:p>
          <w:p>
            <w:pPr>
              <w:pStyle w:val="Normal"/>
              <w:spacing w:before="0" w:after="29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Хлорамфеникол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9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Деготь березовый+</w:t>
            </w:r>
          </w:p>
          <w:p>
            <w:pPr>
              <w:pStyle w:val="Normal"/>
              <w:spacing w:before="0" w:after="29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Трибромфенолята</w:t>
            </w:r>
          </w:p>
          <w:p>
            <w:pPr>
              <w:pStyle w:val="Normal"/>
              <w:spacing w:before="0" w:after="29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висмута и </w:t>
            </w:r>
          </w:p>
          <w:p>
            <w:pPr>
              <w:pStyle w:val="Normal"/>
              <w:spacing w:before="0" w:after="29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Висмута оксида </w:t>
            </w:r>
          </w:p>
          <w:p>
            <w:pPr>
              <w:pStyle w:val="Normal"/>
              <w:spacing w:before="0" w:after="29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26,50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9"/>
              <w:ind w:right="-4644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Этилметилгидроксипиридина </w:t>
            </w:r>
          </w:p>
          <w:p>
            <w:pPr>
              <w:pStyle w:val="Normal"/>
              <w:spacing w:before="0" w:after="29"/>
              <w:ind w:right="-4644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сукцинат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457,15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Пентоксифиллин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40,58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Пиридоксин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37,60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Сеннозиды А и В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14,90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Флуоцинолона ацетонид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Спиронолактон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59,00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Таурин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15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Тиамин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25,25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Ацетилцистеин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139,40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Целебролизат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403,00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Цефазолин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24,50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Цефтриаксон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33,56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27,40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37,40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Бисопролол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67,00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Гликлазид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165,00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86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Ацетилсалициловая кислота+</w:t>
            </w:r>
          </w:p>
          <w:p>
            <w:pPr>
              <w:pStyle w:val="Normal"/>
              <w:spacing w:before="0" w:after="86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Магния гидроксид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265,00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Метформин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149,00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Троксерутин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Амлодипин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464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Метопролол                                        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упаковок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32110279874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ровать общебольничная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100 штук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в течение  15 календарных дней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  <w:t>1017650,00</w:t>
            </w:r>
          </w:p>
        </w:tc>
        <w:tc>
          <w:tcPr>
            <w:tcW w:w="12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ООО «Медитон»</w:t>
            </w:r>
          </w:p>
        </w:tc>
        <w:tc>
          <w:tcPr>
            <w:tcW w:w="10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940000,00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Июль 2021 г.</w:t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Сейф металлический               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 штука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толик для перевязочных отделений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ru-RU" w:bidi="ar-SA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толик медицинский для операций на руке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       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5 штук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Столик процедурный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Ш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каф-купе архивный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Ш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каф металлический для одежды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штук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8600,00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Шкаф медицинский металлический  для хозинвентаря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32110284758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</w:rPr>
              <w:t xml:space="preserve">Средство моющее и дезинфицирующее </w:t>
            </w:r>
            <w:r>
              <w:rPr>
                <w:rFonts w:eastAsia="Times New Roman" w:cs="Arial" w:ascii="Times New Roman" w:hAnsi="Times New Roman"/>
                <w:color w:val="000000" w:themeColor="text1"/>
              </w:rPr>
              <w:t>"Sanitar Maxidez Proff"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>100 упак.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в течение  15 календарных дней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  <w:t>466948,00</w:t>
            </w:r>
          </w:p>
        </w:tc>
        <w:tc>
          <w:tcPr>
            <w:tcW w:w="12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Егоренко В.В.</w:t>
            </w:r>
          </w:p>
        </w:tc>
        <w:tc>
          <w:tcPr>
            <w:tcW w:w="10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189800,00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>1173,00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Июль 2021 г.</w:t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Зубная щетка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>1500 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>19,00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Бритвенный станок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>4000 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>11,00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32110323797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в течение  15 календарных дней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  <w:t>76318,20</w:t>
            </w:r>
          </w:p>
        </w:tc>
        <w:tc>
          <w:tcPr>
            <w:tcW w:w="12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ИП Уолш С.Л.</w:t>
            </w:r>
          </w:p>
        </w:tc>
        <w:tc>
          <w:tcPr>
            <w:tcW w:w="10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Август 2021 г.</w:t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Плечики для одежды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Крючки для штор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Щ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етка раздвижная  для мытья окон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Т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аз круглый оцинкованный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312,00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Пакеты для мусора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олиэтиленовые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Пакеты для мусора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олиэтиленовые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1,50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Щ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етка для пола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32110330228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Самоспасатель фильтрующий ГДЗК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шт.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в течение  15 календарных дней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  <w:t>153233,30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ООО «Офис и Стиль»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138200,00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2650,00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_DdeLink__3826_554042759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Август 2021 г.</w:t>
            </w:r>
            <w:bookmarkEnd w:id="0"/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Порошковый огнетушитель закачной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32110366375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/>
              <w:bidi w:val="0"/>
              <w:snapToGrid w:val="false"/>
              <w:spacing w:lineRule="auto" w:line="276" w:beforeAutospacing="1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 xml:space="preserve">Антивандальный настенный дозатор для жидкого мыла 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дезинфицирующих средств.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шт.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в течение  15 календарных дней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 даты заключения договора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  <w:t>75636,72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ООО «Капитал-Инвест»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2 300,00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Август 2021 г.</w:t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/>
              <w:bidi w:val="0"/>
              <w:snapToGrid w:val="false"/>
              <w:spacing w:lineRule="auto" w:line="276" w:beforeAutospacing="1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 xml:space="preserve">Антивандальный настенный дозатор для жидкого мыла 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дезинфицирующих средств.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2 350,00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/>
              <w:shd w:val="clear" w:color="auto" w:fill="FFFFFF"/>
              <w:bidi w:val="0"/>
              <w:snapToGrid w:val="false"/>
              <w:spacing w:lineRule="auto" w:line="276" w:beforeAutospacing="1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fill="FFFFFF" w:val="clear"/>
              </w:rPr>
              <w:t>Диспенсер настенный  для листовых и рулонных полотенец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highlight w:val="white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2 700,00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 w:eastAsiaTheme="minorHAnsi"/>
        <w:color w:val="auto"/>
        <w:kern w:val="0"/>
        <w:sz w:val="24"/>
        <w:szCs w:val="24"/>
        <w:lang w:val="ru-RU" w:eastAsia="en-US" w:bidi="ar-SA"/>
      </w:rPr>
      <w:t xml:space="preserve">Климковский </w:t>
    </w:r>
    <w:r>
      <w:rPr>
        <w:rFonts w:cs="Times New Roman" w:ascii="Times New Roman" w:hAnsi="Times New Roman"/>
        <w:sz w:val="24"/>
        <w:szCs w:val="24"/>
      </w:rPr>
      <w:t xml:space="preserve">психоневрологический 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за июнь 2021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1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720c46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720c4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720c4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720c4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Body Text Indent"/>
    <w:basedOn w:val="Normal"/>
    <w:pPr>
      <w:spacing w:before="0" w:after="120"/>
      <w:ind w:left="283" w:hanging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LibreOffice/6.3.4.2$Windows_x86 LibreOffice_project/60da17e045e08f1793c57c00ba83cdfce946d0aa</Application>
  <Pages>6</Pages>
  <Words>820</Words>
  <Characters>5164</Characters>
  <CharactersWithSpaces>5894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2021-07-06T10:20:00Z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